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0E798" w14:textId="14C18E3C" w:rsidR="00260836" w:rsidRDefault="00F5276F" w:rsidP="1C18DBB2">
      <w:pPr>
        <w:jc w:val="both"/>
        <w:rPr>
          <w:rFonts w:ascii="Arial" w:hAnsi="Arial" w:cs="Arial"/>
          <w:b/>
          <w:bCs/>
          <w:sz w:val="28"/>
          <w:szCs w:val="28"/>
        </w:rPr>
        <w:sectPr w:rsidR="00260836" w:rsidSect="00260836">
          <w:pgSz w:w="11906" w:h="16838"/>
          <w:pgMar w:top="0" w:right="0" w:bottom="0" w:left="0" w:header="709" w:footer="709" w:gutter="0"/>
          <w:cols w:space="708"/>
          <w:docGrid w:linePitch="360"/>
        </w:sectPr>
      </w:pPr>
      <w:r>
        <w:rPr>
          <w:rFonts w:ascii="Arial" w:hAnsi="Arial" w:cs="Arial"/>
          <w:b/>
          <w:bCs/>
          <w:noProof/>
          <w:sz w:val="28"/>
          <w:szCs w:val="28"/>
        </w:rPr>
        <w:drawing>
          <wp:inline distT="0" distB="0" distL="0" distR="0" wp14:anchorId="5259BDFE" wp14:editId="43546BD3">
            <wp:extent cx="7564582" cy="10678937"/>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7981" cy="10711970"/>
                    </a:xfrm>
                    <a:prstGeom prst="rect">
                      <a:avLst/>
                    </a:prstGeom>
                  </pic:spPr>
                </pic:pic>
              </a:graphicData>
            </a:graphic>
          </wp:inline>
        </w:drawing>
      </w:r>
    </w:p>
    <w:p w14:paraId="3FB9A293" w14:textId="0BA77588" w:rsidR="000C4199" w:rsidRPr="00C712DD" w:rsidRDefault="000C4199" w:rsidP="1C18DBB2">
      <w:pPr>
        <w:jc w:val="both"/>
        <w:rPr>
          <w:rFonts w:ascii="Arial" w:hAnsi="Arial" w:cs="Arial"/>
          <w:b/>
          <w:bCs/>
          <w:sz w:val="28"/>
          <w:szCs w:val="28"/>
        </w:rPr>
      </w:pPr>
      <w:r w:rsidRPr="00C712DD">
        <w:rPr>
          <w:rFonts w:ascii="Arial" w:hAnsi="Arial" w:cs="Arial"/>
          <w:b/>
          <w:bCs/>
          <w:sz w:val="28"/>
          <w:szCs w:val="28"/>
        </w:rPr>
        <w:lastRenderedPageBreak/>
        <w:t xml:space="preserve">Where do I start? </w:t>
      </w:r>
      <w:r w:rsidR="00DE23EA" w:rsidRPr="00C712DD">
        <w:rPr>
          <w:rFonts w:ascii="Arial" w:hAnsi="Arial" w:cs="Arial"/>
          <w:b/>
          <w:bCs/>
          <w:sz w:val="28"/>
          <w:szCs w:val="28"/>
        </w:rPr>
        <w:t xml:space="preserve">– A </w:t>
      </w:r>
      <w:r w:rsidR="00C712DD" w:rsidRPr="00C712DD">
        <w:rPr>
          <w:rFonts w:ascii="Arial" w:hAnsi="Arial" w:cs="Arial"/>
          <w:b/>
          <w:bCs/>
          <w:sz w:val="28"/>
          <w:szCs w:val="28"/>
        </w:rPr>
        <w:t>r</w:t>
      </w:r>
      <w:r w:rsidRPr="00C712DD">
        <w:rPr>
          <w:rFonts w:ascii="Arial" w:hAnsi="Arial" w:cs="Arial"/>
          <w:b/>
          <w:bCs/>
          <w:sz w:val="28"/>
          <w:szCs w:val="28"/>
        </w:rPr>
        <w:t>oadmap for getting on the D</w:t>
      </w:r>
      <w:r w:rsidR="00DE23EA" w:rsidRPr="00C712DD">
        <w:rPr>
          <w:rFonts w:ascii="Arial" w:hAnsi="Arial" w:cs="Arial"/>
          <w:b/>
          <w:bCs/>
          <w:sz w:val="28"/>
          <w:szCs w:val="28"/>
        </w:rPr>
        <w:t>iversity and Inclusion j</w:t>
      </w:r>
      <w:r w:rsidRPr="00C712DD">
        <w:rPr>
          <w:rFonts w:ascii="Arial" w:hAnsi="Arial" w:cs="Arial"/>
          <w:b/>
          <w:bCs/>
          <w:sz w:val="28"/>
          <w:szCs w:val="28"/>
        </w:rPr>
        <w:t>ourney</w:t>
      </w:r>
    </w:p>
    <w:p w14:paraId="1EACEF10" w14:textId="77777777" w:rsidR="00C712DD" w:rsidRDefault="00C712DD" w:rsidP="0045676C">
      <w:pPr>
        <w:jc w:val="both"/>
        <w:rPr>
          <w:rFonts w:ascii="Arial" w:hAnsi="Arial" w:cs="Arial"/>
          <w:b/>
        </w:rPr>
      </w:pPr>
    </w:p>
    <w:p w14:paraId="7E2CC701" w14:textId="3CE27670" w:rsidR="027753E6" w:rsidRDefault="00C712DD" w:rsidP="69387B04">
      <w:pPr>
        <w:jc w:val="both"/>
        <w:rPr>
          <w:rFonts w:ascii="Arial" w:hAnsi="Arial" w:cs="Arial"/>
          <w:b/>
          <w:bCs/>
          <w:sz w:val="24"/>
          <w:szCs w:val="24"/>
        </w:rPr>
      </w:pPr>
      <w:r w:rsidRPr="69387B04">
        <w:rPr>
          <w:rFonts w:ascii="Arial" w:hAnsi="Arial" w:cs="Arial"/>
          <w:b/>
          <w:bCs/>
          <w:sz w:val="24"/>
          <w:szCs w:val="24"/>
        </w:rPr>
        <w:t>Culture</w:t>
      </w:r>
    </w:p>
    <w:p w14:paraId="2F65D9C5" w14:textId="112ABEC3" w:rsidR="027753E6" w:rsidRDefault="00C712DD" w:rsidP="69387B04">
      <w:pPr>
        <w:jc w:val="both"/>
        <w:rPr>
          <w:rFonts w:ascii="Arial" w:hAnsi="Arial" w:cs="Arial"/>
        </w:rPr>
      </w:pPr>
      <w:r w:rsidRPr="69387B04">
        <w:rPr>
          <w:rFonts w:ascii="Arial" w:hAnsi="Arial" w:cs="Arial"/>
        </w:rPr>
        <w:t>H</w:t>
      </w:r>
      <w:r w:rsidR="008718ED" w:rsidRPr="69387B04">
        <w:rPr>
          <w:rFonts w:ascii="Arial" w:hAnsi="Arial" w:cs="Arial"/>
        </w:rPr>
        <w:t xml:space="preserve">ow to set the right culture in your </w:t>
      </w:r>
      <w:r w:rsidR="00F933AD" w:rsidRPr="69387B04">
        <w:rPr>
          <w:rFonts w:ascii="Arial" w:hAnsi="Arial" w:cs="Arial"/>
        </w:rPr>
        <w:t>organisation</w:t>
      </w:r>
      <w:r w:rsidRPr="69387B04">
        <w:rPr>
          <w:rFonts w:ascii="Arial" w:hAnsi="Arial" w:cs="Arial"/>
        </w:rPr>
        <w:t>.</w:t>
      </w:r>
    </w:p>
    <w:p w14:paraId="5DF7162C" w14:textId="7684C2ED" w:rsidR="69387B04" w:rsidRDefault="69387B04" w:rsidP="69387B04">
      <w:pPr>
        <w:jc w:val="both"/>
        <w:rPr>
          <w:rFonts w:ascii="Arial" w:hAnsi="Arial" w:cs="Arial"/>
        </w:rPr>
      </w:pPr>
    </w:p>
    <w:p w14:paraId="404A09D3" w14:textId="77777777" w:rsidR="008718ED" w:rsidRPr="00C712DD" w:rsidRDefault="008718ED" w:rsidP="0045676C">
      <w:pPr>
        <w:jc w:val="both"/>
        <w:rPr>
          <w:rFonts w:ascii="Arial" w:hAnsi="Arial" w:cs="Arial"/>
          <w:b/>
        </w:rPr>
      </w:pPr>
      <w:r w:rsidRPr="00C712DD">
        <w:rPr>
          <w:rFonts w:ascii="Arial" w:hAnsi="Arial" w:cs="Arial"/>
          <w:b/>
        </w:rPr>
        <w:t>Guidance for talking about and creating a positive D&amp;I culture</w:t>
      </w:r>
      <w:r w:rsidR="00302872" w:rsidRPr="00C712DD">
        <w:rPr>
          <w:rFonts w:ascii="Arial" w:hAnsi="Arial" w:cs="Arial"/>
          <w:b/>
        </w:rPr>
        <w:t xml:space="preserve"> </w:t>
      </w:r>
    </w:p>
    <w:p w14:paraId="7367B9D1" w14:textId="3F10A6B7" w:rsidR="009136D8" w:rsidRPr="00C712DD" w:rsidRDefault="00FC0E82" w:rsidP="0045676C">
      <w:pPr>
        <w:jc w:val="both"/>
        <w:rPr>
          <w:rFonts w:ascii="Arial" w:hAnsi="Arial" w:cs="Arial"/>
        </w:rPr>
      </w:pPr>
      <w:r w:rsidRPr="7CF04389">
        <w:rPr>
          <w:rFonts w:ascii="Arial" w:hAnsi="Arial" w:cs="Arial"/>
          <w:b/>
          <w:bCs/>
        </w:rPr>
        <w:t>Tone from the top:</w:t>
      </w:r>
      <w:r w:rsidRPr="7CF04389">
        <w:rPr>
          <w:rFonts w:ascii="Arial" w:hAnsi="Arial" w:cs="Arial"/>
        </w:rPr>
        <w:t xml:space="preserve"> </w:t>
      </w:r>
      <w:r w:rsidR="00DE23EA" w:rsidRPr="7CF04389">
        <w:rPr>
          <w:rFonts w:ascii="Arial" w:hAnsi="Arial" w:cs="Arial"/>
        </w:rPr>
        <w:t xml:space="preserve">The </w:t>
      </w:r>
      <w:r w:rsidRPr="7CF04389">
        <w:rPr>
          <w:rFonts w:ascii="Arial" w:hAnsi="Arial" w:cs="Arial"/>
        </w:rPr>
        <w:t xml:space="preserve">commitment to driving D&amp;I starts at the top with senior leaders </w:t>
      </w:r>
      <w:r w:rsidR="00181E9C" w:rsidRPr="7CF04389">
        <w:rPr>
          <w:rFonts w:ascii="Arial" w:hAnsi="Arial" w:cs="Arial"/>
        </w:rPr>
        <w:t xml:space="preserve">treating it as any other business strategic priority. </w:t>
      </w:r>
      <w:r w:rsidR="00894FB9" w:rsidRPr="7CF04389">
        <w:rPr>
          <w:rFonts w:ascii="Arial" w:hAnsi="Arial" w:cs="Arial"/>
        </w:rPr>
        <w:t xml:space="preserve">This will also establish D&amp;I as everyone’s responsibility. </w:t>
      </w:r>
      <w:r w:rsidR="00181E9C" w:rsidRPr="7CF04389">
        <w:rPr>
          <w:rFonts w:ascii="Arial" w:hAnsi="Arial" w:cs="Arial"/>
        </w:rPr>
        <w:t>Leaders should act as</w:t>
      </w:r>
      <w:r w:rsidRPr="7CF04389">
        <w:rPr>
          <w:rFonts w:ascii="Arial" w:hAnsi="Arial" w:cs="Arial"/>
        </w:rPr>
        <w:t xml:space="preserve"> visible role models and</w:t>
      </w:r>
      <w:r w:rsidR="00181E9C" w:rsidRPr="7CF04389">
        <w:rPr>
          <w:rFonts w:ascii="Arial" w:hAnsi="Arial" w:cs="Arial"/>
        </w:rPr>
        <w:t xml:space="preserve"> create</w:t>
      </w:r>
      <w:r w:rsidRPr="7CF04389">
        <w:rPr>
          <w:rFonts w:ascii="Arial" w:hAnsi="Arial" w:cs="Arial"/>
        </w:rPr>
        <w:t xml:space="preserve"> an environment where employees feel safe to speak up and bring their whole selves to work. </w:t>
      </w:r>
      <w:r w:rsidR="00181E9C" w:rsidRPr="7CF04389">
        <w:rPr>
          <w:rFonts w:ascii="Arial" w:hAnsi="Arial" w:cs="Arial"/>
        </w:rPr>
        <w:t xml:space="preserve">Senior leaders should also be held to account </w:t>
      </w:r>
      <w:r w:rsidR="00894FB9" w:rsidRPr="7CF04389">
        <w:rPr>
          <w:rFonts w:ascii="Arial" w:hAnsi="Arial" w:cs="Arial"/>
        </w:rPr>
        <w:t xml:space="preserve">for driving change </w:t>
      </w:r>
      <w:r w:rsidR="00181E9C" w:rsidRPr="7CF04389">
        <w:rPr>
          <w:rFonts w:ascii="Arial" w:hAnsi="Arial" w:cs="Arial"/>
        </w:rPr>
        <w:t xml:space="preserve">by having specific KPIs related to D&amp;I included into their performance objectives. </w:t>
      </w:r>
    </w:p>
    <w:p w14:paraId="6D5082C8" w14:textId="157390EE" w:rsidR="00181E9C" w:rsidRPr="00C712DD" w:rsidRDefault="00181E9C" w:rsidP="0045676C">
      <w:pPr>
        <w:jc w:val="both"/>
        <w:rPr>
          <w:rFonts w:ascii="Arial" w:hAnsi="Arial" w:cs="Arial"/>
        </w:rPr>
      </w:pPr>
      <w:r w:rsidRPr="00C712DD">
        <w:rPr>
          <w:rFonts w:ascii="Arial" w:hAnsi="Arial" w:cs="Arial"/>
          <w:b/>
        </w:rPr>
        <w:t>Collect and analyse data</w:t>
      </w:r>
      <w:r w:rsidRPr="00C712DD">
        <w:rPr>
          <w:rFonts w:ascii="Arial" w:hAnsi="Arial" w:cs="Arial"/>
        </w:rPr>
        <w:t xml:space="preserve">: </w:t>
      </w:r>
      <w:r w:rsidR="00DE23EA" w:rsidRPr="00C712DD">
        <w:rPr>
          <w:rFonts w:ascii="Arial" w:hAnsi="Arial" w:cs="Arial"/>
        </w:rPr>
        <w:t>C</w:t>
      </w:r>
      <w:r w:rsidRPr="00C712DD">
        <w:rPr>
          <w:rFonts w:ascii="Arial" w:hAnsi="Arial" w:cs="Arial"/>
        </w:rPr>
        <w:t xml:space="preserve">ollect D&amp;I data across the employee </w:t>
      </w:r>
      <w:proofErr w:type="gramStart"/>
      <w:r w:rsidRPr="00C712DD">
        <w:rPr>
          <w:rFonts w:ascii="Arial" w:hAnsi="Arial" w:cs="Arial"/>
        </w:rPr>
        <w:t>life-cycle</w:t>
      </w:r>
      <w:proofErr w:type="gramEnd"/>
      <w:r w:rsidRPr="00C712DD">
        <w:rPr>
          <w:rFonts w:ascii="Arial" w:hAnsi="Arial" w:cs="Arial"/>
        </w:rPr>
        <w:t xml:space="preserve"> to understand the demographic of the workforce</w:t>
      </w:r>
      <w:r w:rsidR="00DE23EA" w:rsidRPr="00C712DD">
        <w:rPr>
          <w:rFonts w:ascii="Arial" w:hAnsi="Arial" w:cs="Arial"/>
        </w:rPr>
        <w:t>. This will help to</w:t>
      </w:r>
      <w:r w:rsidRPr="00C712DD">
        <w:rPr>
          <w:rFonts w:ascii="Arial" w:hAnsi="Arial" w:cs="Arial"/>
        </w:rPr>
        <w:t xml:space="preserve"> identify trends and areas of improvement and in turn, enable you to shape yo</w:t>
      </w:r>
      <w:r w:rsidR="00894FB9" w:rsidRPr="00C712DD">
        <w:rPr>
          <w:rFonts w:ascii="Arial" w:hAnsi="Arial" w:cs="Arial"/>
        </w:rPr>
        <w:t xml:space="preserve">ur approach and embed D&amp;I across the employee </w:t>
      </w:r>
      <w:proofErr w:type="gramStart"/>
      <w:r w:rsidR="00894FB9" w:rsidRPr="00C712DD">
        <w:rPr>
          <w:rFonts w:ascii="Arial" w:hAnsi="Arial" w:cs="Arial"/>
        </w:rPr>
        <w:t>life-cycle</w:t>
      </w:r>
      <w:proofErr w:type="gramEnd"/>
      <w:r w:rsidR="00894FB9" w:rsidRPr="00C712DD">
        <w:rPr>
          <w:rFonts w:ascii="Arial" w:hAnsi="Arial" w:cs="Arial"/>
        </w:rPr>
        <w:t xml:space="preserve">. </w:t>
      </w:r>
    </w:p>
    <w:p w14:paraId="44B6163C" w14:textId="423DC621" w:rsidR="00071624" w:rsidRPr="00C712DD" w:rsidRDefault="00181E9C" w:rsidP="0045676C">
      <w:pPr>
        <w:jc w:val="both"/>
        <w:rPr>
          <w:rFonts w:ascii="Arial" w:hAnsi="Arial" w:cs="Arial"/>
        </w:rPr>
      </w:pPr>
      <w:r w:rsidRPr="00C712DD">
        <w:rPr>
          <w:rFonts w:ascii="Arial" w:hAnsi="Arial" w:cs="Arial"/>
          <w:b/>
        </w:rPr>
        <w:t>Manager buy-in</w:t>
      </w:r>
      <w:r w:rsidRPr="00C712DD">
        <w:rPr>
          <w:rFonts w:ascii="Arial" w:hAnsi="Arial" w:cs="Arial"/>
        </w:rPr>
        <w:t xml:space="preserve">: </w:t>
      </w:r>
      <w:r w:rsidR="00DE23EA" w:rsidRPr="00C712DD">
        <w:rPr>
          <w:rFonts w:ascii="Arial" w:hAnsi="Arial" w:cs="Arial"/>
        </w:rPr>
        <w:t>B</w:t>
      </w:r>
      <w:r w:rsidR="00894FB9" w:rsidRPr="00C712DD">
        <w:rPr>
          <w:rFonts w:ascii="Arial" w:hAnsi="Arial" w:cs="Arial"/>
        </w:rPr>
        <w:t xml:space="preserve">uild managers’ awareness of the importance of </w:t>
      </w:r>
      <w:r w:rsidR="00896895" w:rsidRPr="00C712DD">
        <w:rPr>
          <w:rFonts w:ascii="Arial" w:hAnsi="Arial" w:cs="Arial"/>
        </w:rPr>
        <w:t xml:space="preserve">building an inclusive workplace through active education. Support them with training to identify </w:t>
      </w:r>
      <w:r w:rsidR="00E24F45" w:rsidRPr="00C712DD">
        <w:rPr>
          <w:rFonts w:ascii="Arial" w:hAnsi="Arial" w:cs="Arial"/>
        </w:rPr>
        <w:t xml:space="preserve">their own </w:t>
      </w:r>
      <w:r w:rsidR="00896895" w:rsidRPr="00C712DD">
        <w:rPr>
          <w:rFonts w:ascii="Arial" w:hAnsi="Arial" w:cs="Arial"/>
        </w:rPr>
        <w:t xml:space="preserve">biases, </w:t>
      </w:r>
      <w:r w:rsidR="00E24F45" w:rsidRPr="00C712DD">
        <w:rPr>
          <w:rFonts w:ascii="Arial" w:hAnsi="Arial" w:cs="Arial"/>
        </w:rPr>
        <w:t xml:space="preserve">spot </w:t>
      </w:r>
      <w:r w:rsidR="00896895" w:rsidRPr="00C712DD">
        <w:rPr>
          <w:rFonts w:ascii="Arial" w:hAnsi="Arial" w:cs="Arial"/>
        </w:rPr>
        <w:t xml:space="preserve">micro-aggressions and </w:t>
      </w:r>
      <w:r w:rsidR="00E24F45" w:rsidRPr="00C712DD">
        <w:rPr>
          <w:rFonts w:ascii="Arial" w:hAnsi="Arial" w:cs="Arial"/>
        </w:rPr>
        <w:t xml:space="preserve">equip them with tools to </w:t>
      </w:r>
      <w:r w:rsidR="00896895" w:rsidRPr="00C712DD">
        <w:rPr>
          <w:rFonts w:ascii="Arial" w:hAnsi="Arial" w:cs="Arial"/>
        </w:rPr>
        <w:t xml:space="preserve">effectively handle difficult conversations. </w:t>
      </w:r>
      <w:r w:rsidRPr="00C712DD">
        <w:rPr>
          <w:rFonts w:ascii="Arial" w:hAnsi="Arial" w:cs="Arial"/>
        </w:rPr>
        <w:t xml:space="preserve"> </w:t>
      </w:r>
    </w:p>
    <w:p w14:paraId="187FE513" w14:textId="69C4CA98" w:rsidR="00894FB9" w:rsidRPr="00C712DD" w:rsidRDefault="00181E9C" w:rsidP="0045676C">
      <w:pPr>
        <w:jc w:val="both"/>
        <w:rPr>
          <w:rFonts w:ascii="Arial" w:hAnsi="Arial" w:cs="Arial"/>
        </w:rPr>
      </w:pPr>
      <w:r w:rsidRPr="00C712DD">
        <w:rPr>
          <w:rFonts w:ascii="Arial" w:hAnsi="Arial" w:cs="Arial"/>
          <w:b/>
        </w:rPr>
        <w:t>Open and t</w:t>
      </w:r>
      <w:r w:rsidR="00894FB9" w:rsidRPr="00C712DD">
        <w:rPr>
          <w:rFonts w:ascii="Arial" w:hAnsi="Arial" w:cs="Arial"/>
          <w:b/>
        </w:rPr>
        <w:t>ransparent communication</w:t>
      </w:r>
      <w:r w:rsidR="00894FB9" w:rsidRPr="00C712DD">
        <w:rPr>
          <w:rFonts w:ascii="Arial" w:hAnsi="Arial" w:cs="Arial"/>
        </w:rPr>
        <w:t xml:space="preserve">: </w:t>
      </w:r>
      <w:r w:rsidR="00DE23EA" w:rsidRPr="00C712DD">
        <w:rPr>
          <w:rFonts w:ascii="Arial" w:hAnsi="Arial" w:cs="Arial"/>
        </w:rPr>
        <w:t>C</w:t>
      </w:r>
      <w:r w:rsidR="00894FB9" w:rsidRPr="00C712DD">
        <w:rPr>
          <w:rFonts w:ascii="Arial" w:hAnsi="Arial" w:cs="Arial"/>
        </w:rPr>
        <w:t xml:space="preserve">learly articulate your strategy, objectives and associated metrics to monitor progress along with the action plan to further D&amp;I. Ensure that you regularly update your employees on your progress, acknowledging and explaining any identified gaps and your plans to address them. </w:t>
      </w:r>
    </w:p>
    <w:p w14:paraId="7D83C53E" w14:textId="3BCD3F96" w:rsidR="009C4A79" w:rsidRPr="00C712DD" w:rsidRDefault="00071624" w:rsidP="0045676C">
      <w:pPr>
        <w:jc w:val="both"/>
        <w:rPr>
          <w:rFonts w:ascii="Arial" w:hAnsi="Arial" w:cs="Arial"/>
        </w:rPr>
      </w:pPr>
      <w:r w:rsidRPr="69387B04">
        <w:rPr>
          <w:rFonts w:ascii="Arial" w:hAnsi="Arial" w:cs="Arial"/>
        </w:rPr>
        <w:t xml:space="preserve"> </w:t>
      </w:r>
      <w:r w:rsidR="007B1B5E" w:rsidRPr="69387B04">
        <w:rPr>
          <w:rFonts w:ascii="Arial" w:hAnsi="Arial" w:cs="Arial"/>
          <w:b/>
          <w:bCs/>
        </w:rPr>
        <w:t>E</w:t>
      </w:r>
      <w:r w:rsidR="00FC0E82" w:rsidRPr="69387B04">
        <w:rPr>
          <w:rFonts w:ascii="Arial" w:hAnsi="Arial" w:cs="Arial"/>
          <w:b/>
          <w:bCs/>
        </w:rPr>
        <w:t>mployee engagement</w:t>
      </w:r>
      <w:r w:rsidR="00FC0E82" w:rsidRPr="69387B04">
        <w:rPr>
          <w:rFonts w:ascii="Arial" w:hAnsi="Arial" w:cs="Arial"/>
        </w:rPr>
        <w:t xml:space="preserve">: </w:t>
      </w:r>
      <w:r w:rsidR="00DE23EA" w:rsidRPr="69387B04">
        <w:rPr>
          <w:rFonts w:ascii="Arial" w:hAnsi="Arial" w:cs="Arial"/>
        </w:rPr>
        <w:t>B</w:t>
      </w:r>
      <w:r w:rsidR="00FC0E82" w:rsidRPr="69387B04">
        <w:rPr>
          <w:rFonts w:ascii="Arial" w:hAnsi="Arial" w:cs="Arial"/>
        </w:rPr>
        <w:t>rin</w:t>
      </w:r>
      <w:r w:rsidR="00896895" w:rsidRPr="69387B04">
        <w:rPr>
          <w:rFonts w:ascii="Arial" w:hAnsi="Arial" w:cs="Arial"/>
        </w:rPr>
        <w:t xml:space="preserve">g your employees on the change journey by having conversations, listen </w:t>
      </w:r>
      <w:r w:rsidR="00FC0E82" w:rsidRPr="69387B04">
        <w:rPr>
          <w:rFonts w:ascii="Arial" w:hAnsi="Arial" w:cs="Arial"/>
        </w:rPr>
        <w:t xml:space="preserve">to their experiences and collectively uncover barriers and challenges they may be facing. </w:t>
      </w:r>
      <w:r w:rsidR="00896895" w:rsidRPr="69387B04">
        <w:rPr>
          <w:rFonts w:ascii="Arial" w:hAnsi="Arial" w:cs="Arial"/>
        </w:rPr>
        <w:t xml:space="preserve">Ensure you follow through with actions that move things forward. </w:t>
      </w:r>
      <w:r w:rsidR="00FC0E82" w:rsidRPr="69387B04">
        <w:rPr>
          <w:rFonts w:ascii="Arial" w:hAnsi="Arial" w:cs="Arial"/>
        </w:rPr>
        <w:t xml:space="preserve">Recognise your employees’ contributions and engagement in employee resource groups or broader company initiatives. </w:t>
      </w:r>
    </w:p>
    <w:p w14:paraId="648EE552" w14:textId="2B56925F" w:rsidR="027753E6" w:rsidRDefault="027753E6" w:rsidP="027753E6">
      <w:pPr>
        <w:jc w:val="both"/>
        <w:rPr>
          <w:rFonts w:ascii="Arial" w:hAnsi="Arial" w:cs="Arial"/>
          <w:b/>
          <w:bCs/>
          <w:sz w:val="24"/>
          <w:szCs w:val="24"/>
        </w:rPr>
      </w:pPr>
    </w:p>
    <w:p w14:paraId="4332D655" w14:textId="5A19B530" w:rsidR="009C4A79" w:rsidRPr="00C712DD" w:rsidRDefault="008718ED" w:rsidP="0045676C">
      <w:pPr>
        <w:jc w:val="both"/>
        <w:rPr>
          <w:rFonts w:ascii="Arial" w:hAnsi="Arial" w:cs="Arial"/>
          <w:b/>
          <w:sz w:val="24"/>
          <w:szCs w:val="24"/>
        </w:rPr>
      </w:pPr>
      <w:r w:rsidRPr="00C712DD">
        <w:rPr>
          <w:rFonts w:ascii="Arial" w:hAnsi="Arial" w:cs="Arial"/>
          <w:b/>
          <w:sz w:val="24"/>
          <w:szCs w:val="24"/>
        </w:rPr>
        <w:t>Leaders</w:t>
      </w:r>
      <w:r w:rsidR="00325AB0" w:rsidRPr="00C712DD">
        <w:rPr>
          <w:rFonts w:ascii="Arial" w:hAnsi="Arial" w:cs="Arial"/>
          <w:b/>
          <w:sz w:val="24"/>
          <w:szCs w:val="24"/>
        </w:rPr>
        <w:t xml:space="preserve">hip and the </w:t>
      </w:r>
      <w:r w:rsidR="00C84678">
        <w:rPr>
          <w:rFonts w:ascii="Arial" w:hAnsi="Arial" w:cs="Arial"/>
          <w:b/>
          <w:sz w:val="24"/>
          <w:szCs w:val="24"/>
        </w:rPr>
        <w:t>b</w:t>
      </w:r>
      <w:r w:rsidR="00325AB0" w:rsidRPr="00C712DD">
        <w:rPr>
          <w:rFonts w:ascii="Arial" w:hAnsi="Arial" w:cs="Arial"/>
          <w:b/>
          <w:sz w:val="24"/>
          <w:szCs w:val="24"/>
        </w:rPr>
        <w:t xml:space="preserve">oard’s role </w:t>
      </w:r>
    </w:p>
    <w:p w14:paraId="105549A2" w14:textId="1B4EF0BC" w:rsidR="009C4A79" w:rsidRPr="00C712DD" w:rsidRDefault="009C4A79" w:rsidP="0045676C">
      <w:pPr>
        <w:jc w:val="both"/>
        <w:rPr>
          <w:rFonts w:ascii="Arial" w:hAnsi="Arial" w:cs="Arial"/>
        </w:rPr>
      </w:pPr>
      <w:r w:rsidRPr="00C712DD">
        <w:rPr>
          <w:rFonts w:ascii="Arial" w:hAnsi="Arial" w:cs="Arial"/>
        </w:rPr>
        <w:t xml:space="preserve">Diversity and Inclusion matters not only because it is the right thing to do but also because it makes commercial sense to do. There are clear social and economic benefits that a diverse and inclusive workplace brings. In addition, there are legal </w:t>
      </w:r>
      <w:r w:rsidR="00DE23EA" w:rsidRPr="00C712DD">
        <w:rPr>
          <w:rFonts w:ascii="Arial" w:hAnsi="Arial" w:cs="Arial"/>
        </w:rPr>
        <w:t xml:space="preserve">obligations, </w:t>
      </w:r>
      <w:r w:rsidRPr="00C712DD">
        <w:rPr>
          <w:rFonts w:ascii="Arial" w:hAnsi="Arial" w:cs="Arial"/>
        </w:rPr>
        <w:t xml:space="preserve">and dependent on your business, there may also be regulatory requirements that all employers must adhere to. </w:t>
      </w:r>
    </w:p>
    <w:p w14:paraId="32F67BA8" w14:textId="77777777" w:rsidR="009C4A79" w:rsidRPr="00C712DD" w:rsidRDefault="009C4A79" w:rsidP="0045676C">
      <w:pPr>
        <w:jc w:val="both"/>
        <w:rPr>
          <w:rFonts w:ascii="Arial" w:hAnsi="Arial" w:cs="Arial"/>
        </w:rPr>
      </w:pPr>
      <w:r w:rsidRPr="00C712DD">
        <w:rPr>
          <w:rFonts w:ascii="Arial" w:hAnsi="Arial" w:cs="Arial"/>
        </w:rPr>
        <w:t xml:space="preserve">Creating the right agenda to create a diverse and inclusive environment in a business requires commitment from everyone in an organisation. </w:t>
      </w:r>
    </w:p>
    <w:p w14:paraId="34F2B187" w14:textId="77777777" w:rsidR="009C4A79" w:rsidRPr="00C712DD" w:rsidRDefault="009C4A79" w:rsidP="0045676C">
      <w:pPr>
        <w:pStyle w:val="ListParagraph"/>
        <w:numPr>
          <w:ilvl w:val="0"/>
          <w:numId w:val="2"/>
        </w:numPr>
        <w:jc w:val="both"/>
        <w:rPr>
          <w:rFonts w:ascii="Arial" w:hAnsi="Arial" w:cs="Arial"/>
        </w:rPr>
      </w:pPr>
      <w:r w:rsidRPr="00C712DD">
        <w:rPr>
          <w:rFonts w:ascii="Arial" w:hAnsi="Arial" w:cs="Arial"/>
        </w:rPr>
        <w:t>Senior Leadership support and sponsorship is required – visible leadership, creation of a D&amp;I strategy and goals that all leaders sign up to, linking performance to the D&amp;I goals (metrics and also capturing the correct behaviours to engender the correct culture), hiring in diverse talent, ensuring inclusive work practices</w:t>
      </w:r>
    </w:p>
    <w:p w14:paraId="5D91452F" w14:textId="77777777" w:rsidR="005B59A2" w:rsidRPr="00C712DD" w:rsidRDefault="005B59A2" w:rsidP="0045676C">
      <w:pPr>
        <w:pStyle w:val="ListParagraph"/>
        <w:numPr>
          <w:ilvl w:val="0"/>
          <w:numId w:val="2"/>
        </w:numPr>
        <w:jc w:val="both"/>
        <w:rPr>
          <w:rFonts w:ascii="Arial" w:hAnsi="Arial" w:cs="Arial"/>
        </w:rPr>
      </w:pPr>
      <w:r w:rsidRPr="00C712DD">
        <w:rPr>
          <w:rFonts w:ascii="Arial" w:hAnsi="Arial" w:cs="Arial"/>
        </w:rPr>
        <w:t>Lead by example – organisation leaders should consider role models for their teams and consider whether these can be provided from within the organisation or externally. Working with different sectors and role models can help support wider understanding of diversity and bring a different perspective. Consider mentoring for key members of your team/developing leaders in your organisation</w:t>
      </w:r>
    </w:p>
    <w:p w14:paraId="2917FE4F" w14:textId="77777777" w:rsidR="009C4A79" w:rsidRPr="00C712DD" w:rsidRDefault="009C4A79" w:rsidP="0045676C">
      <w:pPr>
        <w:pStyle w:val="ListParagraph"/>
        <w:numPr>
          <w:ilvl w:val="0"/>
          <w:numId w:val="2"/>
        </w:numPr>
        <w:jc w:val="both"/>
        <w:rPr>
          <w:rFonts w:ascii="Arial" w:hAnsi="Arial" w:cs="Arial"/>
        </w:rPr>
      </w:pPr>
      <w:r w:rsidRPr="00C712DD">
        <w:rPr>
          <w:rFonts w:ascii="Arial" w:hAnsi="Arial" w:cs="Arial"/>
        </w:rPr>
        <w:t>Employee engagement – creation of specific groups who work with the leadership and board to support the D&amp;I strategy and goals, topical talks, access to information, inclusion in local events to support the wider community</w:t>
      </w:r>
    </w:p>
    <w:p w14:paraId="1883D533" w14:textId="77777777" w:rsidR="009C4A79" w:rsidRPr="00C712DD" w:rsidRDefault="009C4A79" w:rsidP="0045676C">
      <w:pPr>
        <w:pStyle w:val="ListParagraph"/>
        <w:numPr>
          <w:ilvl w:val="0"/>
          <w:numId w:val="2"/>
        </w:numPr>
        <w:jc w:val="both"/>
        <w:rPr>
          <w:rFonts w:ascii="Arial" w:hAnsi="Arial" w:cs="Arial"/>
        </w:rPr>
      </w:pPr>
      <w:r w:rsidRPr="00C712DD">
        <w:rPr>
          <w:rFonts w:ascii="Arial" w:hAnsi="Arial" w:cs="Arial"/>
        </w:rPr>
        <w:t>Broader engagement with customers/clients, governments, suppliers, investors, to understand their diversity matters and issues and to help advance D&amp;I internally – customers and clients want to work with companies who are aligned to their goals, including D&amp;I, governments, particularly in Jersey are now looking at reporting on various metrics, including the gender pay gap, with a view to closing this gap, choose suppliers who are aligned to your goals, support diverse organisations</w:t>
      </w:r>
    </w:p>
    <w:p w14:paraId="1496B75C" w14:textId="77777777" w:rsidR="009C4A79" w:rsidRPr="00C712DD" w:rsidRDefault="009C4A79" w:rsidP="0045676C">
      <w:pPr>
        <w:pStyle w:val="ListParagraph"/>
        <w:numPr>
          <w:ilvl w:val="0"/>
          <w:numId w:val="2"/>
        </w:numPr>
        <w:jc w:val="both"/>
        <w:rPr>
          <w:rFonts w:ascii="Arial" w:hAnsi="Arial" w:cs="Arial"/>
        </w:rPr>
      </w:pPr>
      <w:r w:rsidRPr="00C712DD">
        <w:rPr>
          <w:rFonts w:ascii="Arial" w:hAnsi="Arial" w:cs="Arial"/>
        </w:rPr>
        <w:t>Accountability and Reporting - Internally and Externally PLUS Communications</w:t>
      </w:r>
    </w:p>
    <w:p w14:paraId="7504EFE1" w14:textId="77777777" w:rsidR="009C4A79" w:rsidRPr="00C712DD" w:rsidRDefault="009C4A79" w:rsidP="0045676C">
      <w:pPr>
        <w:pStyle w:val="ListParagraph"/>
        <w:jc w:val="both"/>
        <w:rPr>
          <w:rFonts w:ascii="Arial" w:hAnsi="Arial" w:cs="Arial"/>
        </w:rPr>
      </w:pPr>
      <w:r w:rsidRPr="00C712DD">
        <w:rPr>
          <w:rFonts w:ascii="Arial" w:hAnsi="Arial" w:cs="Arial"/>
        </w:rPr>
        <w:t>Communicate diversity strategies and policies, set up initiatives necessary to meet objectives, monitor key activities and track performance, create accountability for achieving results, report progress annually at Board level.</w:t>
      </w:r>
    </w:p>
    <w:p w14:paraId="59737210" w14:textId="77777777" w:rsidR="009C4A79" w:rsidRPr="00C712DD" w:rsidRDefault="009C4A79" w:rsidP="0045676C">
      <w:pPr>
        <w:pStyle w:val="ListParagraph"/>
        <w:jc w:val="both"/>
        <w:rPr>
          <w:rFonts w:ascii="Arial" w:hAnsi="Arial" w:cs="Arial"/>
        </w:rPr>
      </w:pPr>
      <w:r w:rsidRPr="00C712DD">
        <w:rPr>
          <w:rFonts w:ascii="Arial" w:hAnsi="Arial" w:cs="Arial"/>
        </w:rPr>
        <w:t>Quantitatively, diversity scorecards, tracking of key workforce metrics, including leadership diversity and employee opinion survey results.</w:t>
      </w:r>
    </w:p>
    <w:p w14:paraId="3CEBBC3C" w14:textId="77777777" w:rsidR="009C4A79" w:rsidRPr="00C712DD" w:rsidRDefault="009C4A79" w:rsidP="0045676C">
      <w:pPr>
        <w:pStyle w:val="ListParagraph"/>
        <w:jc w:val="both"/>
        <w:rPr>
          <w:rFonts w:ascii="Arial" w:hAnsi="Arial" w:cs="Arial"/>
        </w:rPr>
      </w:pPr>
      <w:r w:rsidRPr="00C712DD">
        <w:rPr>
          <w:rFonts w:ascii="Arial" w:hAnsi="Arial" w:cs="Arial"/>
        </w:rPr>
        <w:t>Qualitatively, targeted surveys, employee roundtables, focus groups, town hall meetings, interactive communications and social media and feedback from employee resource groups.</w:t>
      </w:r>
    </w:p>
    <w:p w14:paraId="3AA11D45" w14:textId="77777777" w:rsidR="009C4A79" w:rsidRPr="00C712DD" w:rsidRDefault="009C4A79" w:rsidP="0045676C">
      <w:pPr>
        <w:jc w:val="both"/>
        <w:rPr>
          <w:rFonts w:ascii="Arial" w:hAnsi="Arial" w:cs="Arial"/>
          <w:b/>
        </w:rPr>
      </w:pPr>
    </w:p>
    <w:p w14:paraId="51ECA0E1" w14:textId="2B342645" w:rsidR="00310A38" w:rsidRPr="00C712DD" w:rsidRDefault="00774ECE" w:rsidP="0045676C">
      <w:pPr>
        <w:jc w:val="both"/>
        <w:rPr>
          <w:rFonts w:ascii="Arial" w:hAnsi="Arial" w:cs="Arial"/>
          <w:b/>
          <w:sz w:val="24"/>
          <w:szCs w:val="24"/>
        </w:rPr>
      </w:pPr>
      <w:r w:rsidRPr="00C712DD">
        <w:rPr>
          <w:rFonts w:ascii="Arial" w:hAnsi="Arial" w:cs="Arial"/>
          <w:b/>
          <w:sz w:val="24"/>
          <w:szCs w:val="24"/>
        </w:rPr>
        <w:t xml:space="preserve">Videos and links for discussion/starting the conversation </w:t>
      </w:r>
    </w:p>
    <w:p w14:paraId="7DE4B625" w14:textId="77777777" w:rsidR="00F3769C" w:rsidRPr="00C712DD" w:rsidRDefault="00CE203A" w:rsidP="0045676C">
      <w:pPr>
        <w:spacing w:after="0"/>
        <w:jc w:val="both"/>
        <w:rPr>
          <w:rFonts w:ascii="Arial" w:hAnsi="Arial" w:cs="Arial"/>
        </w:rPr>
      </w:pPr>
      <w:r w:rsidRPr="00C712DD">
        <w:rPr>
          <w:rFonts w:ascii="Arial" w:hAnsi="Arial" w:cs="Arial"/>
        </w:rPr>
        <w:t>“</w:t>
      </w:r>
      <w:hyperlink r:id="rId10" w:history="1">
        <w:r w:rsidRPr="00C712DD">
          <w:rPr>
            <w:rStyle w:val="Hyperlink"/>
            <w:rFonts w:ascii="Arial" w:hAnsi="Arial" w:cs="Arial"/>
            <w:b/>
            <w:color w:val="auto"/>
            <w:u w:val="none"/>
          </w:rPr>
          <w:t>That Little Voice</w:t>
        </w:r>
      </w:hyperlink>
      <w:r w:rsidRPr="00C712DD">
        <w:rPr>
          <w:rFonts w:ascii="Arial" w:hAnsi="Arial" w:cs="Arial"/>
        </w:rPr>
        <w:t>” –</w:t>
      </w:r>
      <w:r w:rsidR="004B106F" w:rsidRPr="00C712DD">
        <w:rPr>
          <w:rFonts w:ascii="Arial" w:hAnsi="Arial" w:cs="Arial"/>
        </w:rPr>
        <w:t xml:space="preserve"> Instead of listening to that little voice inside your head that tells you to remain silent when confronted with non-inclusive behaviour, it’s time to find your voice and use it to speak up for inclusion.</w:t>
      </w:r>
    </w:p>
    <w:p w14:paraId="4A2CA48C" w14:textId="77777777" w:rsidR="004B106F" w:rsidRPr="00C712DD" w:rsidRDefault="004B106F" w:rsidP="0045676C">
      <w:pPr>
        <w:spacing w:after="0"/>
        <w:jc w:val="both"/>
        <w:rPr>
          <w:rFonts w:ascii="Arial" w:hAnsi="Arial" w:cs="Arial"/>
        </w:rPr>
      </w:pPr>
    </w:p>
    <w:p w14:paraId="48C4FDE2" w14:textId="77777777" w:rsidR="00DE23EA" w:rsidRPr="00C712DD" w:rsidRDefault="00F3769C" w:rsidP="0045676C">
      <w:pPr>
        <w:spacing w:after="0"/>
        <w:jc w:val="both"/>
        <w:rPr>
          <w:rFonts w:ascii="Arial" w:hAnsi="Arial" w:cs="Arial"/>
          <w:b/>
        </w:rPr>
      </w:pPr>
      <w:r w:rsidRPr="00C712DD">
        <w:rPr>
          <w:rFonts w:ascii="Arial" w:hAnsi="Arial" w:cs="Arial"/>
          <w:b/>
        </w:rPr>
        <w:t>TED Talk</w:t>
      </w:r>
      <w:r w:rsidR="00DE23EA" w:rsidRPr="00C712DD">
        <w:rPr>
          <w:rFonts w:ascii="Arial" w:hAnsi="Arial" w:cs="Arial"/>
          <w:b/>
        </w:rPr>
        <w:t xml:space="preserve"> suggestions</w:t>
      </w:r>
    </w:p>
    <w:p w14:paraId="2DB1797C" w14:textId="30690A83" w:rsidR="00F3769C" w:rsidRPr="00C712DD" w:rsidRDefault="00F3769C" w:rsidP="0045676C">
      <w:pPr>
        <w:spacing w:after="0"/>
        <w:jc w:val="both"/>
        <w:rPr>
          <w:rFonts w:ascii="Arial" w:hAnsi="Arial" w:cs="Arial"/>
          <w:b/>
        </w:rPr>
      </w:pPr>
      <w:r w:rsidRPr="00C712DD">
        <w:rPr>
          <w:rFonts w:ascii="Arial" w:hAnsi="Arial" w:cs="Arial"/>
          <w:b/>
        </w:rPr>
        <w:t xml:space="preserve"> </w:t>
      </w:r>
    </w:p>
    <w:p w14:paraId="0C8E4FBC" w14:textId="77777777" w:rsidR="00F3769C" w:rsidRPr="00C712DD" w:rsidRDefault="00B91B0A" w:rsidP="00DE23EA">
      <w:pPr>
        <w:pStyle w:val="ListParagraph"/>
        <w:numPr>
          <w:ilvl w:val="0"/>
          <w:numId w:val="15"/>
        </w:numPr>
        <w:spacing w:after="0"/>
        <w:jc w:val="both"/>
        <w:rPr>
          <w:rFonts w:ascii="Arial" w:hAnsi="Arial" w:cs="Arial"/>
        </w:rPr>
      </w:pPr>
      <w:hyperlink r:id="rId11" w:history="1">
        <w:r w:rsidR="00F3769C" w:rsidRPr="00C712DD">
          <w:rPr>
            <w:rStyle w:val="Hyperlink"/>
            <w:rFonts w:ascii="Arial" w:hAnsi="Arial" w:cs="Arial"/>
            <w:color w:val="auto"/>
            <w:u w:val="none"/>
          </w:rPr>
          <w:t>How to Get Serious About Diversity &amp; Inclusion in the Workplace</w:t>
        </w:r>
      </w:hyperlink>
    </w:p>
    <w:p w14:paraId="4A958FED" w14:textId="77777777" w:rsidR="00F3769C" w:rsidRPr="00C712DD" w:rsidRDefault="00B91B0A" w:rsidP="00DE23EA">
      <w:pPr>
        <w:pStyle w:val="ListParagraph"/>
        <w:numPr>
          <w:ilvl w:val="0"/>
          <w:numId w:val="15"/>
        </w:numPr>
        <w:spacing w:after="0"/>
        <w:jc w:val="both"/>
        <w:rPr>
          <w:rFonts w:ascii="Arial" w:hAnsi="Arial" w:cs="Arial"/>
        </w:rPr>
      </w:pPr>
      <w:hyperlink r:id="rId12" w:history="1">
        <w:r w:rsidR="00F3769C" w:rsidRPr="00C712DD">
          <w:rPr>
            <w:rStyle w:val="Hyperlink"/>
            <w:rFonts w:ascii="Arial" w:hAnsi="Arial" w:cs="Arial"/>
            <w:color w:val="auto"/>
            <w:u w:val="none"/>
          </w:rPr>
          <w:t>Take “The Other” to Lunch</w:t>
        </w:r>
      </w:hyperlink>
    </w:p>
    <w:p w14:paraId="66BF4C84" w14:textId="77777777" w:rsidR="00F3769C" w:rsidRPr="00C712DD" w:rsidRDefault="00B91B0A" w:rsidP="00DE23EA">
      <w:pPr>
        <w:pStyle w:val="ListParagraph"/>
        <w:numPr>
          <w:ilvl w:val="0"/>
          <w:numId w:val="15"/>
        </w:numPr>
        <w:spacing w:after="0"/>
        <w:jc w:val="both"/>
        <w:rPr>
          <w:rStyle w:val="Hyperlink"/>
          <w:rFonts w:ascii="Arial" w:hAnsi="Arial" w:cs="Arial"/>
          <w:color w:val="auto"/>
          <w:u w:val="none"/>
        </w:rPr>
      </w:pPr>
      <w:hyperlink r:id="rId13" w:history="1">
        <w:r w:rsidR="00F3769C" w:rsidRPr="00C712DD">
          <w:rPr>
            <w:rStyle w:val="Hyperlink"/>
            <w:rFonts w:ascii="Arial" w:hAnsi="Arial" w:cs="Arial"/>
            <w:color w:val="auto"/>
            <w:u w:val="none"/>
          </w:rPr>
          <w:t>3 Ways to be a Better Ally in the Workplace</w:t>
        </w:r>
      </w:hyperlink>
    </w:p>
    <w:p w14:paraId="53E7407D" w14:textId="77777777" w:rsidR="00951018" w:rsidRPr="00C712DD" w:rsidRDefault="00B91B0A" w:rsidP="00DE23EA">
      <w:pPr>
        <w:pStyle w:val="ListParagraph"/>
        <w:numPr>
          <w:ilvl w:val="0"/>
          <w:numId w:val="15"/>
        </w:numPr>
        <w:spacing w:after="0"/>
        <w:jc w:val="both"/>
        <w:rPr>
          <w:rStyle w:val="Hyperlink"/>
          <w:rFonts w:ascii="Arial" w:hAnsi="Arial" w:cs="Arial"/>
          <w:color w:val="auto"/>
          <w:u w:val="none"/>
        </w:rPr>
      </w:pPr>
      <w:hyperlink r:id="rId14" w:history="1">
        <w:r w:rsidR="00951018" w:rsidRPr="00C712DD">
          <w:rPr>
            <w:rStyle w:val="Hyperlink"/>
            <w:rFonts w:ascii="Arial" w:hAnsi="Arial" w:cs="Arial"/>
            <w:color w:val="auto"/>
            <w:u w:val="none"/>
          </w:rPr>
          <w:t>I’m not Your inspiration thank you very much</w:t>
        </w:r>
      </w:hyperlink>
    </w:p>
    <w:p w14:paraId="69A1E1C3" w14:textId="77777777" w:rsidR="00951018" w:rsidRPr="00C712DD" w:rsidRDefault="00B91B0A" w:rsidP="00DE23EA">
      <w:pPr>
        <w:pStyle w:val="ListParagraph"/>
        <w:numPr>
          <w:ilvl w:val="0"/>
          <w:numId w:val="15"/>
        </w:numPr>
        <w:spacing w:after="0"/>
        <w:jc w:val="both"/>
        <w:rPr>
          <w:rFonts w:ascii="Arial" w:hAnsi="Arial" w:cs="Arial"/>
        </w:rPr>
      </w:pPr>
      <w:hyperlink r:id="rId15" w:history="1">
        <w:r w:rsidR="00951018" w:rsidRPr="00C712DD">
          <w:rPr>
            <w:rStyle w:val="Hyperlink"/>
            <w:rFonts w:ascii="Arial" w:hAnsi="Arial" w:cs="Arial"/>
            <w:color w:val="auto"/>
            <w:u w:val="none"/>
          </w:rPr>
          <w:t>Colour Blind or Colour Brave</w:t>
        </w:r>
      </w:hyperlink>
    </w:p>
    <w:p w14:paraId="025ED454" w14:textId="77777777" w:rsidR="00CE203A" w:rsidRPr="00C712DD" w:rsidRDefault="00CE203A" w:rsidP="0045676C">
      <w:pPr>
        <w:spacing w:after="0"/>
        <w:jc w:val="both"/>
        <w:rPr>
          <w:rFonts w:ascii="Arial" w:hAnsi="Arial" w:cs="Arial"/>
        </w:rPr>
      </w:pPr>
    </w:p>
    <w:p w14:paraId="0B044FDE" w14:textId="77777777" w:rsidR="00CE203A" w:rsidRPr="00C712DD" w:rsidRDefault="00CE203A" w:rsidP="0045676C">
      <w:pPr>
        <w:spacing w:after="0"/>
        <w:jc w:val="both"/>
        <w:rPr>
          <w:rFonts w:ascii="Arial" w:hAnsi="Arial" w:cs="Arial"/>
        </w:rPr>
      </w:pPr>
    </w:p>
    <w:sectPr w:rsidR="00CE203A" w:rsidRPr="00C712DD" w:rsidSect="00260836">
      <w:pgSz w:w="11906" w:h="16838"/>
      <w:pgMar w:top="1474" w:right="1474"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641F"/>
    <w:multiLevelType w:val="hybridMultilevel"/>
    <w:tmpl w:val="71F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305E3"/>
    <w:multiLevelType w:val="hybridMultilevel"/>
    <w:tmpl w:val="27BA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A405C"/>
    <w:multiLevelType w:val="hybridMultilevel"/>
    <w:tmpl w:val="A9F25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D30DF"/>
    <w:multiLevelType w:val="hybridMultilevel"/>
    <w:tmpl w:val="1100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4098"/>
    <w:multiLevelType w:val="hybridMultilevel"/>
    <w:tmpl w:val="7C5C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C61F3"/>
    <w:multiLevelType w:val="hybridMultilevel"/>
    <w:tmpl w:val="03F63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5760A"/>
    <w:multiLevelType w:val="hybridMultilevel"/>
    <w:tmpl w:val="556C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D6937"/>
    <w:multiLevelType w:val="multilevel"/>
    <w:tmpl w:val="5D50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7103D6"/>
    <w:multiLevelType w:val="hybridMultilevel"/>
    <w:tmpl w:val="904C2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37F13"/>
    <w:multiLevelType w:val="hybridMultilevel"/>
    <w:tmpl w:val="9EDCE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10C2D"/>
    <w:multiLevelType w:val="hybridMultilevel"/>
    <w:tmpl w:val="8F761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DA4CCE"/>
    <w:multiLevelType w:val="hybridMultilevel"/>
    <w:tmpl w:val="78467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050345"/>
    <w:multiLevelType w:val="hybridMultilevel"/>
    <w:tmpl w:val="52643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4C0E72"/>
    <w:multiLevelType w:val="multilevel"/>
    <w:tmpl w:val="AAD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0524E2"/>
    <w:multiLevelType w:val="hybridMultilevel"/>
    <w:tmpl w:val="4126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8"/>
  </w:num>
  <w:num w:numId="5">
    <w:abstractNumId w:val="9"/>
  </w:num>
  <w:num w:numId="6">
    <w:abstractNumId w:val="2"/>
  </w:num>
  <w:num w:numId="7">
    <w:abstractNumId w:val="3"/>
  </w:num>
  <w:num w:numId="8">
    <w:abstractNumId w:val="12"/>
  </w:num>
  <w:num w:numId="9">
    <w:abstractNumId w:val="11"/>
  </w:num>
  <w:num w:numId="10">
    <w:abstractNumId w:val="1"/>
  </w:num>
  <w:num w:numId="11">
    <w:abstractNumId w:val="10"/>
  </w:num>
  <w:num w:numId="12">
    <w:abstractNumId w:val="0"/>
  </w:num>
  <w:num w:numId="13">
    <w:abstractNumId w:val="7"/>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8DE"/>
    <w:rsid w:val="00014233"/>
    <w:rsid w:val="0006557F"/>
    <w:rsid w:val="000663FB"/>
    <w:rsid w:val="00071624"/>
    <w:rsid w:val="000868E8"/>
    <w:rsid w:val="000C4199"/>
    <w:rsid w:val="00133A25"/>
    <w:rsid w:val="00181E9C"/>
    <w:rsid w:val="001A5625"/>
    <w:rsid w:val="00260836"/>
    <w:rsid w:val="002C289C"/>
    <w:rsid w:val="00302872"/>
    <w:rsid w:val="00310A38"/>
    <w:rsid w:val="00325AB0"/>
    <w:rsid w:val="00455755"/>
    <w:rsid w:val="0045676C"/>
    <w:rsid w:val="00461E4F"/>
    <w:rsid w:val="004B106F"/>
    <w:rsid w:val="004D3313"/>
    <w:rsid w:val="0059642B"/>
    <w:rsid w:val="005B59A2"/>
    <w:rsid w:val="00607428"/>
    <w:rsid w:val="00672926"/>
    <w:rsid w:val="006C25AC"/>
    <w:rsid w:val="00745C2F"/>
    <w:rsid w:val="00774ECE"/>
    <w:rsid w:val="007B1B5E"/>
    <w:rsid w:val="008221E0"/>
    <w:rsid w:val="008718ED"/>
    <w:rsid w:val="00894FB9"/>
    <w:rsid w:val="00896895"/>
    <w:rsid w:val="0091188E"/>
    <w:rsid w:val="009136D8"/>
    <w:rsid w:val="00930E85"/>
    <w:rsid w:val="00951018"/>
    <w:rsid w:val="0095225A"/>
    <w:rsid w:val="00977446"/>
    <w:rsid w:val="009C4A79"/>
    <w:rsid w:val="009F3D5A"/>
    <w:rsid w:val="00B07DF6"/>
    <w:rsid w:val="00B91B0A"/>
    <w:rsid w:val="00C166F4"/>
    <w:rsid w:val="00C712DD"/>
    <w:rsid w:val="00C84678"/>
    <w:rsid w:val="00C94A4A"/>
    <w:rsid w:val="00CB5557"/>
    <w:rsid w:val="00CE203A"/>
    <w:rsid w:val="00D561F6"/>
    <w:rsid w:val="00D7027C"/>
    <w:rsid w:val="00DE23EA"/>
    <w:rsid w:val="00E24F45"/>
    <w:rsid w:val="00EB31FE"/>
    <w:rsid w:val="00ED65E1"/>
    <w:rsid w:val="00F3769C"/>
    <w:rsid w:val="00F5276F"/>
    <w:rsid w:val="00F933AD"/>
    <w:rsid w:val="00FA58DE"/>
    <w:rsid w:val="00FB43A0"/>
    <w:rsid w:val="00FC0E82"/>
    <w:rsid w:val="00FE2CA3"/>
    <w:rsid w:val="027753E6"/>
    <w:rsid w:val="031C0755"/>
    <w:rsid w:val="0B1BF509"/>
    <w:rsid w:val="1A911E54"/>
    <w:rsid w:val="1C18DBB2"/>
    <w:rsid w:val="1E0A3B02"/>
    <w:rsid w:val="1FFF7350"/>
    <w:rsid w:val="20F7B4B8"/>
    <w:rsid w:val="2329B833"/>
    <w:rsid w:val="23BEA410"/>
    <w:rsid w:val="2F6D89AC"/>
    <w:rsid w:val="30A67564"/>
    <w:rsid w:val="3427D272"/>
    <w:rsid w:val="375F7334"/>
    <w:rsid w:val="4547422A"/>
    <w:rsid w:val="4AB52546"/>
    <w:rsid w:val="51FC8EFD"/>
    <w:rsid w:val="57152BCE"/>
    <w:rsid w:val="5A36804D"/>
    <w:rsid w:val="5EDD8468"/>
    <w:rsid w:val="5F26A0E1"/>
    <w:rsid w:val="69387B04"/>
    <w:rsid w:val="6E4B9AC4"/>
    <w:rsid w:val="70D4FE05"/>
    <w:rsid w:val="7CF04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BD91"/>
  <w15:chartTrackingRefBased/>
  <w15:docId w15:val="{FF526A73-90CF-4509-B475-3047B463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5C2F"/>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3769C"/>
    <w:rPr>
      <w:color w:val="0563C1" w:themeColor="hyperlink"/>
      <w:u w:val="single"/>
    </w:rPr>
  </w:style>
  <w:style w:type="paragraph" w:styleId="ListParagraph">
    <w:name w:val="List Paragraph"/>
    <w:basedOn w:val="Normal"/>
    <w:uiPriority w:val="34"/>
    <w:qFormat/>
    <w:rsid w:val="00C166F4"/>
    <w:pPr>
      <w:ind w:left="720"/>
      <w:contextualSpacing/>
    </w:pPr>
  </w:style>
  <w:style w:type="character" w:styleId="Strong">
    <w:name w:val="Strong"/>
    <w:basedOn w:val="DefaultParagraphFont"/>
    <w:uiPriority w:val="22"/>
    <w:qFormat/>
    <w:rsid w:val="009F3D5A"/>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5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9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59A2"/>
    <w:rPr>
      <w:b/>
      <w:bCs/>
    </w:rPr>
  </w:style>
  <w:style w:type="character" w:customStyle="1" w:styleId="CommentSubjectChar">
    <w:name w:val="Comment Subject Char"/>
    <w:basedOn w:val="CommentTextChar"/>
    <w:link w:val="CommentSubject"/>
    <w:uiPriority w:val="99"/>
    <w:semiHidden/>
    <w:rsid w:val="005B59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481414">
      <w:bodyDiv w:val="1"/>
      <w:marLeft w:val="0"/>
      <w:marRight w:val="0"/>
      <w:marTop w:val="0"/>
      <w:marBottom w:val="0"/>
      <w:divBdr>
        <w:top w:val="none" w:sz="0" w:space="0" w:color="auto"/>
        <w:left w:val="none" w:sz="0" w:space="0" w:color="auto"/>
        <w:bottom w:val="none" w:sz="0" w:space="0" w:color="auto"/>
        <w:right w:val="none" w:sz="0" w:space="0" w:color="auto"/>
      </w:divBdr>
    </w:div>
    <w:div w:id="1412044658">
      <w:bodyDiv w:val="1"/>
      <w:marLeft w:val="0"/>
      <w:marRight w:val="0"/>
      <w:marTop w:val="0"/>
      <w:marBottom w:val="0"/>
      <w:divBdr>
        <w:top w:val="none" w:sz="0" w:space="0" w:color="auto"/>
        <w:left w:val="none" w:sz="0" w:space="0" w:color="auto"/>
        <w:bottom w:val="none" w:sz="0" w:space="0" w:color="auto"/>
        <w:right w:val="none" w:sz="0" w:space="0" w:color="auto"/>
      </w:divBdr>
    </w:div>
    <w:div w:id="1570113228">
      <w:bodyDiv w:val="1"/>
      <w:marLeft w:val="0"/>
      <w:marRight w:val="0"/>
      <w:marTop w:val="0"/>
      <w:marBottom w:val="0"/>
      <w:divBdr>
        <w:top w:val="none" w:sz="0" w:space="0" w:color="auto"/>
        <w:left w:val="none" w:sz="0" w:space="0" w:color="auto"/>
        <w:bottom w:val="none" w:sz="0" w:space="0" w:color="auto"/>
        <w:right w:val="none" w:sz="0" w:space="0" w:color="auto"/>
      </w:divBdr>
      <w:divsChild>
        <w:div w:id="1379162588">
          <w:marLeft w:val="0"/>
          <w:marRight w:val="0"/>
          <w:marTop w:val="0"/>
          <w:marBottom w:val="0"/>
          <w:divBdr>
            <w:top w:val="none" w:sz="0" w:space="0" w:color="auto"/>
            <w:left w:val="none" w:sz="0" w:space="0" w:color="auto"/>
            <w:bottom w:val="none" w:sz="0" w:space="0" w:color="auto"/>
            <w:right w:val="none" w:sz="0" w:space="0" w:color="auto"/>
          </w:divBdr>
          <w:divsChild>
            <w:div w:id="344986164">
              <w:marLeft w:val="0"/>
              <w:marRight w:val="0"/>
              <w:marTop w:val="0"/>
              <w:marBottom w:val="0"/>
              <w:divBdr>
                <w:top w:val="none" w:sz="0" w:space="0" w:color="auto"/>
                <w:left w:val="none" w:sz="0" w:space="0" w:color="auto"/>
                <w:bottom w:val="none" w:sz="0" w:space="0" w:color="auto"/>
                <w:right w:val="none" w:sz="0" w:space="0" w:color="auto"/>
              </w:divBdr>
              <w:divsChild>
                <w:div w:id="2123064164">
                  <w:marLeft w:val="0"/>
                  <w:marRight w:val="0"/>
                  <w:marTop w:val="0"/>
                  <w:marBottom w:val="0"/>
                  <w:divBdr>
                    <w:top w:val="none" w:sz="0" w:space="0" w:color="auto"/>
                    <w:left w:val="none" w:sz="0" w:space="0" w:color="auto"/>
                    <w:bottom w:val="none" w:sz="0" w:space="0" w:color="auto"/>
                    <w:right w:val="none" w:sz="0" w:space="0" w:color="auto"/>
                  </w:divBdr>
                  <w:divsChild>
                    <w:div w:id="352266369">
                      <w:marLeft w:val="0"/>
                      <w:marRight w:val="0"/>
                      <w:marTop w:val="0"/>
                      <w:marBottom w:val="0"/>
                      <w:divBdr>
                        <w:top w:val="none" w:sz="0" w:space="0" w:color="auto"/>
                        <w:left w:val="none" w:sz="0" w:space="0" w:color="auto"/>
                        <w:bottom w:val="none" w:sz="0" w:space="0" w:color="auto"/>
                        <w:right w:val="none" w:sz="0" w:space="0" w:color="auto"/>
                      </w:divBdr>
                      <w:divsChild>
                        <w:div w:id="823660575">
                          <w:marLeft w:val="0"/>
                          <w:marRight w:val="0"/>
                          <w:marTop w:val="0"/>
                          <w:marBottom w:val="0"/>
                          <w:divBdr>
                            <w:top w:val="none" w:sz="0" w:space="0" w:color="auto"/>
                            <w:left w:val="none" w:sz="0" w:space="0" w:color="auto"/>
                            <w:bottom w:val="none" w:sz="0" w:space="0" w:color="auto"/>
                            <w:right w:val="none" w:sz="0" w:space="0" w:color="auto"/>
                          </w:divBdr>
                          <w:divsChild>
                            <w:div w:id="1263221735">
                              <w:marLeft w:val="-225"/>
                              <w:marRight w:val="-225"/>
                              <w:marTop w:val="0"/>
                              <w:marBottom w:val="0"/>
                              <w:divBdr>
                                <w:top w:val="none" w:sz="0" w:space="0" w:color="auto"/>
                                <w:left w:val="none" w:sz="0" w:space="0" w:color="auto"/>
                                <w:bottom w:val="none" w:sz="0" w:space="0" w:color="auto"/>
                                <w:right w:val="none" w:sz="0" w:space="0" w:color="auto"/>
                              </w:divBdr>
                              <w:divsChild>
                                <w:div w:id="470559525">
                                  <w:marLeft w:val="0"/>
                                  <w:marRight w:val="0"/>
                                  <w:marTop w:val="0"/>
                                  <w:marBottom w:val="0"/>
                                  <w:divBdr>
                                    <w:top w:val="none" w:sz="0" w:space="0" w:color="auto"/>
                                    <w:left w:val="none" w:sz="0" w:space="0" w:color="auto"/>
                                    <w:bottom w:val="none" w:sz="0" w:space="0" w:color="auto"/>
                                    <w:right w:val="none" w:sz="0" w:space="0" w:color="auto"/>
                                  </w:divBdr>
                                  <w:divsChild>
                                    <w:div w:id="1226598498">
                                      <w:marLeft w:val="0"/>
                                      <w:marRight w:val="0"/>
                                      <w:marTop w:val="0"/>
                                      <w:marBottom w:val="0"/>
                                      <w:divBdr>
                                        <w:top w:val="none" w:sz="0" w:space="0" w:color="auto"/>
                                        <w:left w:val="none" w:sz="0" w:space="0" w:color="auto"/>
                                        <w:bottom w:val="none" w:sz="0" w:space="0" w:color="auto"/>
                                        <w:right w:val="none" w:sz="0" w:space="0" w:color="auto"/>
                                      </w:divBdr>
                                      <w:divsChild>
                                        <w:div w:id="13566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melinda_epler_3_ways_to_be_a_better_ally_in_the_workpla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d.com/talks/elizabeth_lesser_take_the_other_to_lunch?language=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d.com/talks/janet_stovall_how_to_get_serious_about_diversity_and_inclusion_in_the_workplace" TargetMode="External"/><Relationship Id="rId5" Type="http://schemas.openxmlformats.org/officeDocument/2006/relationships/numbering" Target="numbering.xml"/><Relationship Id="rId15" Type="http://schemas.openxmlformats.org/officeDocument/2006/relationships/hyperlink" Target="https://www.ted.com/talks/mellody_hobson_color_blind_or_color_brave" TargetMode="External"/><Relationship Id="rId10" Type="http://schemas.openxmlformats.org/officeDocument/2006/relationships/hyperlink" Target="https://www.rbc.com/diversity-inclusion/that-little-voice.html"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ted.com/talks/stella_young_i_m_not_your_inspiration_thank_you_very_much?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2</Form_x0020__x002d__x0020_no_x0020_of_x0020_pages>
    <Document_x0020_type xmlns="f906fbab-2f75-4c55-9947-54e5e7fb542c">Strategy document</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and manually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5A409-2BA0-443E-A142-D2A64A69AF1F}">
  <ds:schemaRefs>
    <ds:schemaRef ds:uri="http://schemas.microsoft.com/sharepoint/v3/contenttype/forms"/>
  </ds:schemaRefs>
</ds:datastoreItem>
</file>

<file path=customXml/itemProps2.xml><?xml version="1.0" encoding="utf-8"?>
<ds:datastoreItem xmlns:ds="http://schemas.openxmlformats.org/officeDocument/2006/customXml" ds:itemID="{F85CD31F-A172-481E-9B68-1BA1D18E44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7FB52-9734-41B5-9CD1-C77E3C3AA369}">
  <ds:schemaRefs>
    <ds:schemaRef ds:uri="http://schemas.openxmlformats.org/officeDocument/2006/bibliography"/>
  </ds:schemaRefs>
</ds:datastoreItem>
</file>

<file path=customXml/itemProps4.xml><?xml version="1.0" encoding="utf-8"?>
<ds:datastoreItem xmlns:ds="http://schemas.openxmlformats.org/officeDocument/2006/customXml" ds:itemID="{900A2CBD-4FD5-4DD3-981A-3E013740DD9F}"/>
</file>

<file path=docProps/app.xml><?xml version="1.0" encoding="utf-8"?>
<Properties xmlns="http://schemas.openxmlformats.org/officeDocument/2006/extended-properties" xmlns:vt="http://schemas.openxmlformats.org/officeDocument/2006/docPropsVTypes">
  <Template>Normal</Template>
  <TotalTime>12</TotalTime>
  <Pages>3</Pages>
  <Words>841</Words>
  <Characters>4799</Characters>
  <Application>Microsoft Office Word</Application>
  <DocSecurity>0</DocSecurity>
  <Lines>39</Lines>
  <Paragraphs>11</Paragraphs>
  <ScaleCrop>false</ScaleCrop>
  <Company>RBC</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and Inclusion toolkit 1. Leadership and the board's role</dc:title>
  <dc:subject/>
  <dc:creator>Le Boutillier, Lucy</dc:creator>
  <cp:keywords/>
  <dc:description/>
  <cp:lastModifiedBy>Charlie Carr</cp:lastModifiedBy>
  <cp:revision>4</cp:revision>
  <dcterms:created xsi:type="dcterms:W3CDTF">2021-06-15T08:17:00Z</dcterms:created>
  <dcterms:modified xsi:type="dcterms:W3CDTF">2021-06-23T13:42:00Z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